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08" w:rsidRPr="00536F6B" w:rsidRDefault="00CD1108" w:rsidP="00CD1108">
      <w:pPr>
        <w:rPr>
          <w:b/>
          <w:i/>
          <w:u w:val="single"/>
        </w:rPr>
      </w:pPr>
      <w:r w:rsidRPr="00536F6B">
        <w:rPr>
          <w:b/>
          <w:i/>
          <w:u w:val="single"/>
        </w:rPr>
        <w:t>BULETIN INFORMATIV</w:t>
      </w:r>
    </w:p>
    <w:p w:rsidR="001A3349" w:rsidRPr="001A3349" w:rsidRDefault="001A3349" w:rsidP="001A3349">
      <w:pPr>
        <w:keepNext/>
        <w:keepLines/>
        <w:spacing w:before="40" w:after="0" w:line="276" w:lineRule="auto"/>
        <w:jc w:val="both"/>
        <w:outlineLvl w:val="1"/>
        <w:rPr>
          <w:rFonts w:eastAsia="Times New Roman" w:cs="Times New Roman"/>
          <w:b/>
          <w:i/>
          <w:sz w:val="26"/>
          <w:szCs w:val="26"/>
          <w:lang w:val="ro-RO"/>
        </w:rPr>
      </w:pPr>
      <w:r w:rsidRPr="001A3349">
        <w:rPr>
          <w:rFonts w:eastAsia="Times New Roman" w:cs="Times New Roman"/>
          <w:b/>
          <w:i/>
          <w:szCs w:val="26"/>
          <w:lang w:val="ro-RO"/>
        </w:rPr>
        <w:t>28 FEBRUARIE - ZIUA PROTECŢIEI CIVILE DIN ROMÂNIA.</w:t>
      </w:r>
    </w:p>
    <w:p w:rsidR="001A3349" w:rsidRPr="001A3349" w:rsidRDefault="001A3349" w:rsidP="001A3349">
      <w:pPr>
        <w:spacing w:line="256" w:lineRule="auto"/>
        <w:jc w:val="both"/>
        <w:rPr>
          <w:rFonts w:eastAsia="Calibri" w:cs="Times New Roman"/>
          <w:b/>
          <w:szCs w:val="24"/>
        </w:rPr>
      </w:pPr>
    </w:p>
    <w:p w:rsidR="001A3349" w:rsidRPr="001A3349" w:rsidRDefault="001A3349" w:rsidP="001A3349">
      <w:pPr>
        <w:spacing w:line="256" w:lineRule="auto"/>
        <w:jc w:val="both"/>
        <w:rPr>
          <w:rFonts w:eastAsia="Calibri" w:cs="Times New Roman"/>
          <w:szCs w:val="24"/>
        </w:rPr>
      </w:pPr>
      <w:r w:rsidRPr="001A3349">
        <w:rPr>
          <w:rFonts w:eastAsia="Calibri" w:cs="Times New Roman"/>
          <w:szCs w:val="24"/>
        </w:rPr>
        <w:t>La 28 februarie 1933, Regele Carol al II-lea, prin Înaltul Decret Regal nr.468, aproba „Regulamentul Apărării Pasive contra Atacurilor Aeriene”, acesta reprezentând “actul de naştere” al Protecției Civile din România.</w:t>
      </w:r>
    </w:p>
    <w:p w:rsidR="001A3349" w:rsidRPr="001A3349" w:rsidRDefault="001A3349" w:rsidP="001A3349">
      <w:pPr>
        <w:spacing w:line="256" w:lineRule="auto"/>
        <w:jc w:val="both"/>
        <w:rPr>
          <w:rFonts w:eastAsia="Calibri" w:cs="Times New Roman"/>
          <w:szCs w:val="24"/>
        </w:rPr>
      </w:pPr>
      <w:r w:rsidRPr="001A3349">
        <w:rPr>
          <w:rFonts w:eastAsia="Calibri" w:cs="Times New Roman"/>
          <w:szCs w:val="24"/>
        </w:rPr>
        <w:t>Aniversarea a 86 de ani de la atestarea documentară a Protecţiei Civile în România ne oferă prilejul rememorării faptelor de eroism ale cadrelor din structurile de Protecţie Civilă care, de-a lungul anilor, prin misiunile desfăşurate pentru salvarea cetăţenilor ameninţaţi de conflicte militare, calamităţi naturale şi alte catastrofe au făcut ca numărul victimelor umane şi a pagubelor materiale să fie cât mai mic posibil.</w:t>
      </w:r>
    </w:p>
    <w:p w:rsidR="001A3349" w:rsidRPr="001A3349" w:rsidRDefault="001A3349" w:rsidP="001A3349">
      <w:pPr>
        <w:spacing w:line="256" w:lineRule="auto"/>
        <w:jc w:val="both"/>
        <w:rPr>
          <w:rFonts w:eastAsia="Calibri" w:cs="Times New Roman"/>
          <w:szCs w:val="24"/>
        </w:rPr>
      </w:pPr>
      <w:r w:rsidRPr="001A3349">
        <w:rPr>
          <w:rFonts w:eastAsia="Calibri" w:cs="Times New Roman"/>
          <w:szCs w:val="24"/>
        </w:rPr>
        <w:t>În România “PROTECŢIA CIVILĂ” este o componentă a sistemului securităţii naţionale şi reprezintă “un ansamblu integrat de activităţi specifice, măsuri şi sarcini organizatorice, tehnice, operative, cu caracer umanitar şi de informare publică, planificate, organizate şi realizate, în scopul prevenirii şi reducerii riscurilor de producere a dezastrelor, protejării populaţiei, bunurilor şi mediului împotriva efectelor negative ale situaţiilor de urgenţă, conflictelor armate şi înlăturării operative a urmărilor acestora şi asigurării condiţiilor necesare supravieţuirii persoanelor afectate”.</w:t>
      </w:r>
    </w:p>
    <w:p w:rsidR="001A3349" w:rsidRPr="001A3349" w:rsidRDefault="001A3349" w:rsidP="001A3349">
      <w:pPr>
        <w:spacing w:line="256" w:lineRule="auto"/>
        <w:jc w:val="both"/>
        <w:rPr>
          <w:rFonts w:eastAsia="Calibri" w:cs="Times New Roman"/>
          <w:szCs w:val="24"/>
        </w:rPr>
      </w:pPr>
      <w:r w:rsidRPr="001A3349">
        <w:rPr>
          <w:rFonts w:eastAsia="Calibri" w:cs="Times New Roman"/>
          <w:szCs w:val="24"/>
        </w:rPr>
        <w:t>În prezent, atribuţiile protecţiei civile sunt îndeplinite de către Inspectoratul General şi inspectoratele judeţene pentru situaţii de urgenţă şi constau în: identificarea riscurilor existente în diferite zone; informarea şi pregătirea preventivă a populaţiei cu privire la pericolele la care este expusă şi regulile de comportare; organizarea intervenţiei în situaţii de urgenţă; alarmarea populaţiei despre iminenţa pericolului; înlăturarea efectelor negative ale dezastrelor şi asanarea teritoriului de muniţia rămasă neexplodată din timpul conflictelor armate etc.</w:t>
      </w:r>
    </w:p>
    <w:p w:rsidR="001A3349" w:rsidRPr="001A3349" w:rsidRDefault="001A3349" w:rsidP="001A3349">
      <w:pPr>
        <w:spacing w:line="256" w:lineRule="auto"/>
        <w:jc w:val="both"/>
        <w:rPr>
          <w:rFonts w:eastAsia="Calibri" w:cs="Times New Roman"/>
          <w:b/>
          <w:i/>
          <w:szCs w:val="24"/>
          <w:u w:val="single"/>
        </w:rPr>
      </w:pPr>
      <w:r w:rsidRPr="001A3349">
        <w:rPr>
          <w:rFonts w:eastAsia="Calibri" w:cs="Times New Roman"/>
          <w:b/>
          <w:i/>
          <w:szCs w:val="24"/>
          <w:u w:val="single"/>
        </w:rPr>
        <w:t>De la APĂRAREA PASIVĂ la PROTECŢIA CIVILĂ - repere istorice</w:t>
      </w:r>
    </w:p>
    <w:p w:rsidR="001A3349" w:rsidRPr="001A3349" w:rsidRDefault="001A3349" w:rsidP="001A3349">
      <w:pPr>
        <w:spacing w:line="256" w:lineRule="auto"/>
        <w:jc w:val="both"/>
        <w:rPr>
          <w:rFonts w:eastAsia="Calibri" w:cs="Times New Roman"/>
          <w:b/>
          <w:i/>
          <w:szCs w:val="24"/>
          <w:u w:val="single"/>
        </w:rPr>
      </w:pPr>
      <w:r w:rsidRPr="001A3349">
        <w:rPr>
          <w:rFonts w:eastAsia="Calibri" w:cs="Times New Roman"/>
          <w:b/>
          <w:i/>
          <w:szCs w:val="24"/>
          <w:u w:val="single"/>
        </w:rPr>
        <w:t>1933</w:t>
      </w:r>
    </w:p>
    <w:p w:rsidR="001A3349" w:rsidRPr="001A3349" w:rsidRDefault="001A3349" w:rsidP="001A3349">
      <w:pPr>
        <w:spacing w:line="256" w:lineRule="auto"/>
        <w:jc w:val="both"/>
        <w:rPr>
          <w:rFonts w:eastAsia="Calibri" w:cs="Times New Roman"/>
          <w:szCs w:val="24"/>
        </w:rPr>
      </w:pPr>
      <w:r w:rsidRPr="001A3349">
        <w:rPr>
          <w:rFonts w:eastAsia="Calibri" w:cs="Times New Roman"/>
          <w:szCs w:val="24"/>
        </w:rPr>
        <w:t xml:space="preserve">La 28 februarie 1933, prin Înalt Decret Regal nr. 468 se aprobă Regulamentul apărării pasive contra atacurilor aeriene, prin care „APĂRAREA PASIVĂ” avea ca scop </w:t>
      </w:r>
      <w:r w:rsidRPr="001A3349">
        <w:rPr>
          <w:rFonts w:eastAsia="Calibri" w:cs="Times New Roman"/>
          <w:szCs w:val="24"/>
        </w:rPr>
        <w:lastRenderedPageBreak/>
        <w:t>„limitarea efectelor bombardamentelor aeriene asupra populaţiei sau resurselor teritoriului, prin protecţie directă sau micşorând eficacitatea atacurilor aeriene</w:t>
      </w:r>
      <w:r w:rsidRPr="001A3349">
        <w:rPr>
          <w:rFonts w:eastAsia="Calibri" w:cs="Times New Roman"/>
          <w:szCs w:val="24"/>
          <w:lang w:val="ro-RO"/>
        </w:rPr>
        <w:t>”</w:t>
      </w:r>
      <w:r w:rsidRPr="001A3349">
        <w:rPr>
          <w:rFonts w:eastAsia="Calibri" w:cs="Times New Roman"/>
          <w:szCs w:val="24"/>
        </w:rPr>
        <w:t>.</w:t>
      </w:r>
    </w:p>
    <w:p w:rsidR="001A3349" w:rsidRPr="001A3349" w:rsidRDefault="001A3349" w:rsidP="001A3349">
      <w:pPr>
        <w:spacing w:line="256" w:lineRule="auto"/>
        <w:jc w:val="both"/>
        <w:rPr>
          <w:rFonts w:eastAsia="Calibri" w:cs="Times New Roman"/>
          <w:szCs w:val="24"/>
        </w:rPr>
      </w:pPr>
      <w:r w:rsidRPr="001A3349">
        <w:rPr>
          <w:rFonts w:eastAsia="Calibri" w:cs="Times New Roman"/>
          <w:b/>
          <w:i/>
          <w:szCs w:val="24"/>
          <w:u w:val="single"/>
        </w:rPr>
        <w:t>1952</w:t>
      </w:r>
      <w:r w:rsidRPr="001A3349">
        <w:rPr>
          <w:rFonts w:eastAsia="Calibri" w:cs="Times New Roman"/>
          <w:b/>
          <w:szCs w:val="24"/>
        </w:rPr>
        <w:t xml:space="preserve"> - </w:t>
      </w:r>
      <w:r w:rsidRPr="001A3349">
        <w:rPr>
          <w:rFonts w:eastAsia="Calibri" w:cs="Times New Roman"/>
          <w:szCs w:val="24"/>
        </w:rPr>
        <w:t>Se înființează, „APĂRAREA LOCALĂ ANTIAERIANĂ” în subordinea Ministerului de Interne. Organizarea apărării locale antiaeriene se caracteriza prin existența statelor majore de apărare locală antiaeriană la nivelul regiunilor, ca unități administrative, în raioane și orașe mari.</w:t>
      </w:r>
    </w:p>
    <w:p w:rsidR="001A3349" w:rsidRPr="001A3349" w:rsidRDefault="001A3349" w:rsidP="001A3349">
      <w:pPr>
        <w:spacing w:line="256" w:lineRule="auto"/>
        <w:jc w:val="both"/>
        <w:rPr>
          <w:rFonts w:eastAsia="Calibri" w:cs="Times New Roman"/>
          <w:szCs w:val="24"/>
        </w:rPr>
      </w:pPr>
      <w:r w:rsidRPr="001A3349">
        <w:rPr>
          <w:rFonts w:eastAsia="Calibri" w:cs="Times New Roman"/>
          <w:b/>
          <w:i/>
          <w:szCs w:val="24"/>
          <w:u w:val="single"/>
        </w:rPr>
        <w:t>1978</w:t>
      </w:r>
      <w:r w:rsidRPr="001A3349">
        <w:rPr>
          <w:rFonts w:eastAsia="Calibri" w:cs="Times New Roman"/>
          <w:szCs w:val="24"/>
        </w:rPr>
        <w:t xml:space="preserve"> - Denumirea de Apărare Locală Antiaeriană se modifică în „APĂRARE  CIVILĂ”. Aceasta devine componentă a sistemului naţional de aparare şi trebuie să asigure pregatirea populaţiei, teritoriului şi economiei pentru desfăşurarea normală a activităţilor economice şi sociale, precum şi pentru protecţia cetăţenilor şi bunurilor materiale de orice natură, în timp de razboi sau în situaţii speciale.</w:t>
      </w:r>
    </w:p>
    <w:p w:rsidR="001A3349" w:rsidRPr="001A3349" w:rsidRDefault="001A3349" w:rsidP="001A3349">
      <w:pPr>
        <w:spacing w:line="256" w:lineRule="auto"/>
        <w:jc w:val="both"/>
        <w:rPr>
          <w:rFonts w:eastAsia="Calibri" w:cs="Times New Roman"/>
          <w:szCs w:val="24"/>
        </w:rPr>
      </w:pPr>
      <w:r w:rsidRPr="001A3349">
        <w:rPr>
          <w:rFonts w:eastAsia="Calibri" w:cs="Times New Roman"/>
          <w:b/>
          <w:i/>
          <w:szCs w:val="24"/>
          <w:u w:val="single"/>
        </w:rPr>
        <w:t>1995</w:t>
      </w:r>
      <w:r w:rsidRPr="001A3349">
        <w:rPr>
          <w:rFonts w:eastAsia="Calibri" w:cs="Times New Roman"/>
          <w:szCs w:val="24"/>
        </w:rPr>
        <w:t xml:space="preserve"> - În continuă perfecţionare şi modernizare, instituţia ce preia denumirea de „PROTECŢIA CIVILĂ” constituie o componentă importantă de forţe de protecţie destinate ducerii, alături de celelalte forţe, a acţiunilor de apărare a ţării.</w:t>
      </w:r>
    </w:p>
    <w:p w:rsidR="001A3349" w:rsidRPr="001A3349" w:rsidRDefault="001A3349" w:rsidP="001A3349">
      <w:pPr>
        <w:spacing w:line="256" w:lineRule="auto"/>
        <w:jc w:val="both"/>
        <w:rPr>
          <w:rFonts w:eastAsia="Calibri" w:cs="Times New Roman"/>
          <w:szCs w:val="24"/>
        </w:rPr>
      </w:pPr>
      <w:r w:rsidRPr="001A3349">
        <w:rPr>
          <w:rFonts w:eastAsia="Calibri" w:cs="Times New Roman"/>
          <w:b/>
          <w:i/>
          <w:szCs w:val="24"/>
          <w:u w:val="single"/>
        </w:rPr>
        <w:t>2004</w:t>
      </w:r>
      <w:r w:rsidRPr="001A3349">
        <w:rPr>
          <w:rFonts w:eastAsia="Calibri" w:cs="Times New Roman"/>
          <w:szCs w:val="24"/>
        </w:rPr>
        <w:t xml:space="preserve"> - Începând cu 15 decembrie 2004, PROTECŢIA CIVILĂ este parte componentă în cadrul Inspectoratului General pentru Situaţii de Urgenţă (I.G.S.U.) şi structurile subordonate acestuia, prin unirea structurilor de Pompieri şi Protecţie Civilă la nivel naţional şi local.</w:t>
      </w:r>
    </w:p>
    <w:p w:rsidR="001A3349" w:rsidRPr="001A3349" w:rsidRDefault="001A3349" w:rsidP="001A3349">
      <w:pPr>
        <w:spacing w:line="256" w:lineRule="auto"/>
        <w:jc w:val="both"/>
        <w:rPr>
          <w:rFonts w:eastAsia="Calibri" w:cs="Times New Roman"/>
          <w:szCs w:val="24"/>
        </w:rPr>
      </w:pPr>
      <w:r w:rsidRPr="001A3349">
        <w:rPr>
          <w:rFonts w:eastAsia="Calibri" w:cs="Times New Roman"/>
          <w:szCs w:val="24"/>
        </w:rPr>
        <w:t>*    *    *</w:t>
      </w:r>
    </w:p>
    <w:p w:rsidR="001A3349" w:rsidRPr="001A3349" w:rsidRDefault="001A3349" w:rsidP="001A3349">
      <w:pPr>
        <w:spacing w:line="256" w:lineRule="auto"/>
        <w:jc w:val="both"/>
        <w:rPr>
          <w:rFonts w:eastAsia="Calibri" w:cs="Times New Roman"/>
          <w:iCs/>
          <w:szCs w:val="24"/>
        </w:rPr>
      </w:pPr>
      <w:r w:rsidRPr="001A3349">
        <w:rPr>
          <w:rFonts w:eastAsia="Calibri" w:cs="Times New Roman"/>
          <w:szCs w:val="24"/>
        </w:rPr>
        <w:t>Cu ocazia acestui eveniment, în data de 28 februarie 201</w:t>
      </w:r>
      <w:r w:rsidR="00A36764">
        <w:rPr>
          <w:rFonts w:eastAsia="Calibri" w:cs="Times New Roman"/>
          <w:szCs w:val="24"/>
        </w:rPr>
        <w:t>9</w:t>
      </w:r>
      <w:bookmarkStart w:id="0" w:name="_GoBack"/>
      <w:bookmarkEnd w:id="0"/>
      <w:r w:rsidRPr="001A3349">
        <w:rPr>
          <w:rFonts w:eastAsia="Calibri" w:cs="Times New Roman"/>
          <w:szCs w:val="24"/>
        </w:rPr>
        <w:t>, între orele 10:00 - 14:00, Inspectoratul pentru Situaţii de Urgenţă “Basarab I” Dâmboviţa organizează “Ziua Porţilor Deschise” atât la sediul inspectoratului, cât şi în toate subunităţile din judeţ, unde va fi prezentată</w:t>
      </w:r>
      <w:r w:rsidRPr="001A3349">
        <w:rPr>
          <w:rFonts w:eastAsia="Calibri" w:cs="Times New Roman"/>
          <w:iCs/>
          <w:szCs w:val="24"/>
        </w:rPr>
        <w:t xml:space="preserve"> tehnica şi echipamentele utilizate pentru diferite tipuri de intervenţie.</w:t>
      </w:r>
    </w:p>
    <w:p w:rsidR="001A3349" w:rsidRPr="001A3349" w:rsidRDefault="001A3349" w:rsidP="001A3349">
      <w:pPr>
        <w:spacing w:line="256" w:lineRule="auto"/>
        <w:jc w:val="both"/>
        <w:rPr>
          <w:rFonts w:eastAsia="Calibri" w:cs="Times New Roman"/>
          <w:szCs w:val="24"/>
        </w:rPr>
      </w:pPr>
      <w:r w:rsidRPr="001A3349">
        <w:rPr>
          <w:rFonts w:eastAsia="Calibri" w:cs="Times New Roman"/>
          <w:iCs/>
          <w:szCs w:val="24"/>
        </w:rPr>
        <w:t>Tot cu această ocazie, un ofiţer şi 5 subofiţeri din cadrul ISU „Basarab I” Dâmboviţa, care s-au distins prin modul de îndeplinire a atribuţiilor de serviciu, pregătire profesională şi comportare demnă, vor fi înaintaţi în gradul următor, înaintea expirării stagiului minim în grad, iar un subofi</w:t>
      </w:r>
      <w:r w:rsidRPr="001A3349">
        <w:rPr>
          <w:rFonts w:eastAsia="Calibri" w:cs="Times New Roman"/>
          <w:iCs/>
          <w:szCs w:val="24"/>
          <w:lang w:val="ro-RO"/>
        </w:rPr>
        <w:t>ţer nou încadrat va depune jurământul de credinţă în faţa drapelului unităţii</w:t>
      </w:r>
      <w:r w:rsidRPr="001A3349">
        <w:rPr>
          <w:rFonts w:eastAsia="Calibri" w:cs="Times New Roman"/>
          <w:iCs/>
          <w:szCs w:val="24"/>
        </w:rPr>
        <w:t>.</w:t>
      </w:r>
    </w:p>
    <w:p w:rsidR="001A3349" w:rsidRPr="001A3349" w:rsidRDefault="001A3349" w:rsidP="001A3349">
      <w:pPr>
        <w:spacing w:line="256" w:lineRule="auto"/>
        <w:jc w:val="both"/>
        <w:rPr>
          <w:rFonts w:eastAsia="Calibri" w:cs="Times New Roman"/>
          <w:szCs w:val="24"/>
        </w:rPr>
      </w:pPr>
      <w:r w:rsidRPr="001A3349">
        <w:rPr>
          <w:rFonts w:eastAsia="Calibri" w:cs="Times New Roman"/>
          <w:szCs w:val="24"/>
        </w:rPr>
        <w:t xml:space="preserve">Ziua Protecţiei Civile ne oferă plăcutul prilej de a transmite întregului personal care acţionează sub deviza "cu viaţa mea apăr viaţa" multă sănătate, putere de muncă şi succes în îndeplinirea nobilelor misiuni încredinţate.  </w:t>
      </w:r>
    </w:p>
    <w:p w:rsidR="001A3349" w:rsidRPr="001A3349" w:rsidRDefault="001A3349" w:rsidP="001A3349">
      <w:pPr>
        <w:spacing w:after="0"/>
        <w:jc w:val="both"/>
        <w:rPr>
          <w:rFonts w:eastAsia="Calibri" w:cs="Times New Roman"/>
          <w:b/>
          <w:szCs w:val="24"/>
        </w:rPr>
      </w:pPr>
      <w:r w:rsidRPr="001A3349">
        <w:rPr>
          <w:rFonts w:eastAsia="Calibri" w:cs="Times New Roman"/>
        </w:rPr>
        <w:t>„LA MULŢI ANI !”</w:t>
      </w:r>
    </w:p>
    <w:p w:rsidR="001A3349" w:rsidRPr="001A3349" w:rsidRDefault="001A3349" w:rsidP="001A3349">
      <w:pPr>
        <w:spacing w:after="0"/>
        <w:jc w:val="both"/>
        <w:rPr>
          <w:rFonts w:eastAsia="Calibri" w:cs="Times New Roman"/>
        </w:rPr>
      </w:pPr>
    </w:p>
    <w:p w:rsidR="001A3349" w:rsidRPr="001A3349" w:rsidRDefault="001A3349" w:rsidP="001A3349">
      <w:pPr>
        <w:spacing w:after="0"/>
        <w:jc w:val="both"/>
        <w:rPr>
          <w:rFonts w:eastAsia="Calibri" w:cs="Times New Roman"/>
        </w:rPr>
      </w:pPr>
      <w:r w:rsidRPr="001A3349">
        <w:rPr>
          <w:rFonts w:eastAsia="Calibri" w:cs="Times New Roman"/>
        </w:rPr>
        <w:t>COMPARTIMENT</w:t>
      </w:r>
    </w:p>
    <w:p w:rsidR="00CC0859" w:rsidRPr="00CD1108" w:rsidRDefault="001A3349" w:rsidP="001A3349">
      <w:pPr>
        <w:spacing w:after="0"/>
        <w:rPr>
          <w:sz w:val="16"/>
          <w:szCs w:val="16"/>
        </w:rPr>
      </w:pPr>
      <w:r w:rsidRPr="001A3349">
        <w:rPr>
          <w:rFonts w:eastAsia="Calibri" w:cs="Times New Roman"/>
          <w:i/>
        </w:rPr>
        <w:t>INFORMARE ȘI RELAȚII PUBLICE</w:t>
      </w:r>
    </w:p>
    <w:sectPr w:rsidR="00CC0859" w:rsidRPr="00CD1108" w:rsidSect="00DA3E6B">
      <w:headerReference w:type="default" r:id="rId8"/>
      <w:footerReference w:type="default" r:id="rId9"/>
      <w:headerReference w:type="first" r:id="rId10"/>
      <w:footerReference w:type="first" r:id="rId11"/>
      <w:pgSz w:w="11907" w:h="16840" w:code="9"/>
      <w:pgMar w:top="567" w:right="567" w:bottom="567" w:left="1418"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CDA" w:rsidRDefault="009B5CDA" w:rsidP="00912FDC">
      <w:pPr>
        <w:spacing w:after="0" w:line="240" w:lineRule="auto"/>
      </w:pPr>
      <w:r>
        <w:separator/>
      </w:r>
    </w:p>
  </w:endnote>
  <w:endnote w:type="continuationSeparator" w:id="0">
    <w:p w:rsidR="009B5CDA" w:rsidRDefault="009B5CDA" w:rsidP="0091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978"/>
    </w:tblGrid>
    <w:tr w:rsidR="002A032F" w:rsidRPr="006A11F2" w:rsidTr="00CC0859">
      <w:trPr>
        <w:jc w:val="center"/>
      </w:trPr>
      <w:tc>
        <w:tcPr>
          <w:tcW w:w="5000" w:type="pct"/>
        </w:tcPr>
        <w:p w:rsidR="002A032F" w:rsidRPr="006A11F2" w:rsidRDefault="002A032F" w:rsidP="00876A1F">
          <w:pPr>
            <w:jc w:val="center"/>
            <w:rPr>
              <w:sz w:val="14"/>
              <w:szCs w:val="14"/>
            </w:rPr>
          </w:pPr>
          <w:r w:rsidRPr="006A11F2">
            <w:rPr>
              <w:sz w:val="14"/>
              <w:szCs w:val="14"/>
            </w:rPr>
            <w:t>NESECRET</w:t>
          </w:r>
        </w:p>
      </w:tc>
    </w:tr>
    <w:tr w:rsidR="002A032F" w:rsidRPr="006A11F2" w:rsidTr="00CC0859">
      <w:trPr>
        <w:jc w:val="center"/>
      </w:trPr>
      <w:tc>
        <w:tcPr>
          <w:tcW w:w="5000" w:type="pct"/>
          <w:shd w:val="clear" w:color="auto" w:fill="auto"/>
        </w:tcPr>
        <w:p w:rsidR="002A032F" w:rsidRPr="006A11F2" w:rsidRDefault="002A032F" w:rsidP="00876A1F">
          <w:pPr>
            <w:jc w:val="center"/>
            <w:rPr>
              <w:sz w:val="14"/>
              <w:szCs w:val="14"/>
            </w:rPr>
          </w:pPr>
          <w:r w:rsidRPr="006A11F2">
            <w:rPr>
              <w:sz w:val="14"/>
              <w:szCs w:val="14"/>
            </w:rPr>
            <w:t>Pg.</w:t>
          </w:r>
          <w:r w:rsidRPr="006A11F2">
            <w:rPr>
              <w:b/>
              <w:sz w:val="14"/>
              <w:szCs w:val="14"/>
            </w:rPr>
            <w:t xml:space="preserve"> </w:t>
          </w:r>
          <w:r w:rsidRPr="006A11F2">
            <w:rPr>
              <w:bCs/>
              <w:sz w:val="14"/>
              <w:szCs w:val="14"/>
            </w:rPr>
            <w:fldChar w:fldCharType="begin"/>
          </w:r>
          <w:r w:rsidRPr="006A11F2">
            <w:rPr>
              <w:bCs/>
              <w:sz w:val="14"/>
              <w:szCs w:val="14"/>
            </w:rPr>
            <w:instrText xml:space="preserve"> PAGE </w:instrText>
          </w:r>
          <w:r w:rsidRPr="006A11F2">
            <w:rPr>
              <w:bCs/>
              <w:sz w:val="14"/>
              <w:szCs w:val="14"/>
            </w:rPr>
            <w:fldChar w:fldCharType="separate"/>
          </w:r>
          <w:r w:rsidR="00A36764">
            <w:rPr>
              <w:bCs/>
              <w:noProof/>
              <w:sz w:val="14"/>
              <w:szCs w:val="14"/>
            </w:rPr>
            <w:t>2</w:t>
          </w:r>
          <w:r w:rsidRPr="006A11F2">
            <w:rPr>
              <w:bCs/>
              <w:sz w:val="14"/>
              <w:szCs w:val="14"/>
            </w:rPr>
            <w:fldChar w:fldCharType="end"/>
          </w:r>
          <w:r w:rsidRPr="006A11F2">
            <w:rPr>
              <w:sz w:val="14"/>
              <w:szCs w:val="14"/>
            </w:rPr>
            <w:t xml:space="preserve"> / </w:t>
          </w:r>
          <w:r w:rsidRPr="006A11F2">
            <w:rPr>
              <w:bCs/>
              <w:sz w:val="14"/>
              <w:szCs w:val="14"/>
            </w:rPr>
            <w:fldChar w:fldCharType="begin"/>
          </w:r>
          <w:r w:rsidRPr="006A11F2">
            <w:rPr>
              <w:bCs/>
              <w:sz w:val="14"/>
              <w:szCs w:val="14"/>
            </w:rPr>
            <w:instrText xml:space="preserve"> NUMPAGES  </w:instrText>
          </w:r>
          <w:r w:rsidRPr="006A11F2">
            <w:rPr>
              <w:bCs/>
              <w:sz w:val="14"/>
              <w:szCs w:val="14"/>
            </w:rPr>
            <w:fldChar w:fldCharType="separate"/>
          </w:r>
          <w:r w:rsidR="00A36764">
            <w:rPr>
              <w:bCs/>
              <w:noProof/>
              <w:sz w:val="14"/>
              <w:szCs w:val="14"/>
            </w:rPr>
            <w:t>2</w:t>
          </w:r>
          <w:r w:rsidRPr="006A11F2">
            <w:rPr>
              <w:bCs/>
              <w:sz w:val="14"/>
              <w:szCs w:val="14"/>
            </w:rPr>
            <w:fldChar w:fldCharType="end"/>
          </w:r>
        </w:p>
      </w:tc>
    </w:tr>
    <w:tr w:rsidR="00CC0859" w:rsidRPr="006A11F2" w:rsidTr="00CC0859">
      <w:trPr>
        <w:jc w:val="center"/>
      </w:trPr>
      <w:sdt>
        <w:sdtPr>
          <w:rPr>
            <w:i/>
            <w:sz w:val="14"/>
            <w:szCs w:val="14"/>
          </w:rPr>
          <w:alias w:val="Atentie! SSV si PDCP"/>
          <w:tag w:val="Atentie! SSV si PDCP"/>
          <w:id w:val="900323256"/>
          <w:dropDownList>
            <w:listItem w:displayText="." w:value="."/>
            <w:listItem w:displayText="Prezentul document conține date cu caracter personal și se supun prevederilor Regulamentului UE nr. 679/2016" w:value="Prezentul document conține date cu caracter personal și se supun prevederilor Regulamentului UE nr. 679/2016"/>
          </w:dropDownList>
        </w:sdtPr>
        <w:sdtEndPr/>
        <w:sdtContent>
          <w:tc>
            <w:tcPr>
              <w:tcW w:w="5000" w:type="pct"/>
              <w:tcBorders>
                <w:bottom w:val="single" w:sz="4" w:space="0" w:color="auto"/>
              </w:tcBorders>
            </w:tcPr>
            <w:p w:rsidR="00CC0859" w:rsidRPr="006A11F2" w:rsidRDefault="00CC0859" w:rsidP="00876A1F">
              <w:pPr>
                <w:jc w:val="center"/>
                <w:rPr>
                  <w:sz w:val="14"/>
                  <w:szCs w:val="14"/>
                </w:rPr>
              </w:pPr>
              <w:r>
                <w:rPr>
                  <w:i/>
                  <w:sz w:val="14"/>
                  <w:szCs w:val="14"/>
                </w:rPr>
                <w:t>.</w:t>
              </w:r>
            </w:p>
          </w:tc>
        </w:sdtContent>
      </w:sdt>
    </w:tr>
  </w:tbl>
  <w:p w:rsidR="002A032F" w:rsidRPr="00CC0859" w:rsidRDefault="002A032F">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304"/>
      <w:gridCol w:w="3304"/>
      <w:gridCol w:w="3304"/>
    </w:tblGrid>
    <w:tr w:rsidR="00536F6B" w:rsidRPr="00C0685A" w:rsidTr="00DA3E6B">
      <w:trPr>
        <w:jc w:val="center"/>
      </w:trPr>
      <w:tc>
        <w:tcPr>
          <w:tcW w:w="3304" w:type="dxa"/>
        </w:tcPr>
        <w:p w:rsidR="00536F6B" w:rsidRPr="00C0685A" w:rsidRDefault="00536F6B" w:rsidP="00F85E47">
          <w:pPr>
            <w:jc w:val="right"/>
            <w:rPr>
              <w:sz w:val="14"/>
              <w:szCs w:val="14"/>
            </w:rPr>
          </w:pPr>
        </w:p>
      </w:tc>
      <w:tc>
        <w:tcPr>
          <w:tcW w:w="3304" w:type="dxa"/>
        </w:tcPr>
        <w:p w:rsidR="00536F6B" w:rsidRPr="00C0685A" w:rsidRDefault="00536F6B" w:rsidP="00C0685A">
          <w:pPr>
            <w:jc w:val="center"/>
            <w:rPr>
              <w:sz w:val="14"/>
              <w:szCs w:val="14"/>
            </w:rPr>
          </w:pPr>
          <w:r w:rsidRPr="00C0685A">
            <w:rPr>
              <w:sz w:val="14"/>
              <w:szCs w:val="14"/>
            </w:rPr>
            <w:t>Pg.</w:t>
          </w:r>
          <w:r w:rsidRPr="00C0685A">
            <w:rPr>
              <w:b/>
              <w:sz w:val="14"/>
              <w:szCs w:val="14"/>
            </w:rPr>
            <w:t xml:space="preserve"> </w:t>
          </w:r>
          <w:r w:rsidRPr="00C0685A">
            <w:rPr>
              <w:bCs/>
              <w:sz w:val="14"/>
              <w:szCs w:val="14"/>
            </w:rPr>
            <w:fldChar w:fldCharType="begin"/>
          </w:r>
          <w:r w:rsidRPr="00C0685A">
            <w:rPr>
              <w:bCs/>
              <w:sz w:val="14"/>
              <w:szCs w:val="14"/>
            </w:rPr>
            <w:instrText xml:space="preserve"> PAGE </w:instrText>
          </w:r>
          <w:r w:rsidRPr="00C0685A">
            <w:rPr>
              <w:bCs/>
              <w:sz w:val="14"/>
              <w:szCs w:val="14"/>
            </w:rPr>
            <w:fldChar w:fldCharType="separate"/>
          </w:r>
          <w:r w:rsidR="00A36764">
            <w:rPr>
              <w:bCs/>
              <w:noProof/>
              <w:sz w:val="14"/>
              <w:szCs w:val="14"/>
            </w:rPr>
            <w:t>1</w:t>
          </w:r>
          <w:r w:rsidRPr="00C0685A">
            <w:rPr>
              <w:bCs/>
              <w:sz w:val="14"/>
              <w:szCs w:val="14"/>
            </w:rPr>
            <w:fldChar w:fldCharType="end"/>
          </w:r>
          <w:r w:rsidRPr="00C0685A">
            <w:rPr>
              <w:sz w:val="14"/>
              <w:szCs w:val="14"/>
            </w:rPr>
            <w:t xml:space="preserve"> / </w:t>
          </w:r>
          <w:r w:rsidRPr="00C0685A">
            <w:rPr>
              <w:bCs/>
              <w:sz w:val="14"/>
              <w:szCs w:val="14"/>
            </w:rPr>
            <w:fldChar w:fldCharType="begin"/>
          </w:r>
          <w:r w:rsidRPr="00C0685A">
            <w:rPr>
              <w:bCs/>
              <w:sz w:val="14"/>
              <w:szCs w:val="14"/>
            </w:rPr>
            <w:instrText xml:space="preserve"> NUMPAGES  </w:instrText>
          </w:r>
          <w:r w:rsidRPr="00C0685A">
            <w:rPr>
              <w:bCs/>
              <w:sz w:val="14"/>
              <w:szCs w:val="14"/>
            </w:rPr>
            <w:fldChar w:fldCharType="separate"/>
          </w:r>
          <w:r w:rsidR="00A36764">
            <w:rPr>
              <w:bCs/>
              <w:noProof/>
              <w:sz w:val="14"/>
              <w:szCs w:val="14"/>
            </w:rPr>
            <w:t>2</w:t>
          </w:r>
          <w:r w:rsidRPr="00C0685A">
            <w:rPr>
              <w:bCs/>
              <w:sz w:val="14"/>
              <w:szCs w:val="14"/>
            </w:rPr>
            <w:fldChar w:fldCharType="end"/>
          </w:r>
        </w:p>
      </w:tc>
      <w:tc>
        <w:tcPr>
          <w:tcW w:w="3304" w:type="dxa"/>
        </w:tcPr>
        <w:p w:rsidR="00536F6B" w:rsidRDefault="00536F6B" w:rsidP="00896C09">
          <w:pPr>
            <w:jc w:val="right"/>
            <w:rPr>
              <w:i/>
              <w:sz w:val="14"/>
              <w:szCs w:val="16"/>
            </w:rPr>
          </w:pPr>
          <w:r w:rsidRPr="00536F6B">
            <w:rPr>
              <w:i/>
              <w:sz w:val="14"/>
              <w:szCs w:val="16"/>
            </w:rPr>
            <w:t>Se transmite prin e-mail</w:t>
          </w:r>
        </w:p>
        <w:sdt>
          <w:sdtPr>
            <w:rPr>
              <w:sz w:val="12"/>
              <w:szCs w:val="16"/>
            </w:rPr>
            <w:alias w:val="Nivel/Clasa"/>
            <w:tag w:val="Nivel/Clasa"/>
            <w:id w:val="2143071085"/>
            <w:comboBox>
              <w:listItem w:value="nivel/clasa"/>
              <w:listItem w:displayText="." w:value="."/>
              <w:listItem w:displayText="NESECRET" w:value="NESECRET"/>
              <w:listItem w:displayText="SECRET DE SERVICIU" w:value="SECRET DE SERVICIU"/>
            </w:comboBox>
          </w:sdtPr>
          <w:sdtEndPr/>
          <w:sdtContent>
            <w:p w:rsidR="004F49F2" w:rsidRPr="004F49F2" w:rsidRDefault="004F49F2" w:rsidP="004F49F2">
              <w:pPr>
                <w:spacing w:after="60"/>
                <w:jc w:val="right"/>
                <w:rPr>
                  <w:sz w:val="16"/>
                  <w:szCs w:val="16"/>
                </w:rPr>
              </w:pPr>
              <w:r w:rsidRPr="004F49F2">
                <w:rPr>
                  <w:sz w:val="12"/>
                  <w:szCs w:val="16"/>
                </w:rPr>
                <w:t>NESECRET</w:t>
              </w:r>
            </w:p>
          </w:sdtContent>
        </w:sdt>
      </w:tc>
    </w:tr>
    <w:tr w:rsidR="00536F6B" w:rsidRPr="006A11F2" w:rsidTr="00DA3E6B">
      <w:trPr>
        <w:jc w:val="center"/>
      </w:trPr>
      <w:tc>
        <w:tcPr>
          <w:tcW w:w="9912" w:type="dxa"/>
          <w:gridSpan w:val="3"/>
        </w:tcPr>
        <w:p w:rsidR="00536F6B" w:rsidRDefault="00536F6B" w:rsidP="008F0807">
          <w:pPr>
            <w:pStyle w:val="Header"/>
            <w:tabs>
              <w:tab w:val="clear" w:pos="4680"/>
              <w:tab w:val="clear" w:pos="9360"/>
            </w:tabs>
            <w:jc w:val="center"/>
            <w:rPr>
              <w:sz w:val="14"/>
              <w:szCs w:val="14"/>
            </w:rPr>
          </w:pPr>
          <w:r>
            <w:rPr>
              <w:noProof/>
              <w:sz w:val="14"/>
              <w:szCs w:val="14"/>
              <w:lang w:val="ro-RO" w:eastAsia="ro-RO"/>
            </w:rPr>
            <w:drawing>
              <wp:inline distT="0" distB="0" distL="0" distR="0" wp14:anchorId="7BD66D5F" wp14:editId="6C2EDC9B">
                <wp:extent cx="2152650" cy="57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ag_subsol.png"/>
                        <pic:cNvPicPr/>
                      </pic:nvPicPr>
                      <pic:blipFill>
                        <a:blip r:embed="rId1">
                          <a:extLst>
                            <a:ext uri="{28A0092B-C50C-407E-A947-70E740481C1C}">
                              <a14:useLocalDpi xmlns:a14="http://schemas.microsoft.com/office/drawing/2010/main" val="0"/>
                            </a:ext>
                          </a:extLst>
                        </a:blip>
                        <a:stretch>
                          <a:fillRect/>
                        </a:stretch>
                      </pic:blipFill>
                      <pic:spPr>
                        <a:xfrm>
                          <a:off x="0" y="0"/>
                          <a:ext cx="2152650" cy="57150"/>
                        </a:xfrm>
                        <a:prstGeom prst="rect">
                          <a:avLst/>
                        </a:prstGeom>
                      </pic:spPr>
                    </pic:pic>
                  </a:graphicData>
                </a:graphic>
              </wp:inline>
            </w:drawing>
          </w:r>
        </w:p>
        <w:p w:rsidR="00536F6B" w:rsidRDefault="00536F6B" w:rsidP="008F0807">
          <w:pPr>
            <w:pStyle w:val="Header"/>
            <w:tabs>
              <w:tab w:val="clear" w:pos="4680"/>
              <w:tab w:val="clear" w:pos="9360"/>
            </w:tabs>
            <w:jc w:val="center"/>
            <w:rPr>
              <w:sz w:val="14"/>
              <w:szCs w:val="14"/>
            </w:rPr>
          </w:pPr>
          <w:r w:rsidRPr="006A11F2">
            <w:rPr>
              <w:sz w:val="14"/>
              <w:szCs w:val="14"/>
            </w:rPr>
            <w:t>Târgovişte, șoseaua Găeşti nr.9, Dâmboviţa, 130087</w:t>
          </w:r>
          <w:r>
            <w:rPr>
              <w:sz w:val="14"/>
              <w:szCs w:val="14"/>
            </w:rPr>
            <w:t xml:space="preserve">, </w:t>
          </w:r>
        </w:p>
        <w:p w:rsidR="00536F6B" w:rsidRPr="006A11F2" w:rsidRDefault="00536F6B" w:rsidP="008F0807">
          <w:pPr>
            <w:pStyle w:val="Header"/>
            <w:tabs>
              <w:tab w:val="clear" w:pos="4680"/>
              <w:tab w:val="clear" w:pos="9360"/>
            </w:tabs>
            <w:jc w:val="center"/>
            <w:rPr>
              <w:sz w:val="14"/>
              <w:szCs w:val="14"/>
            </w:rPr>
          </w:pPr>
          <w:r w:rsidRPr="006A11F2">
            <w:rPr>
              <w:b/>
              <w:sz w:val="14"/>
              <w:szCs w:val="14"/>
            </w:rPr>
            <w:t>Tel:</w:t>
          </w:r>
          <w:r w:rsidRPr="006A11F2">
            <w:rPr>
              <w:sz w:val="14"/>
              <w:szCs w:val="14"/>
            </w:rPr>
            <w:t xml:space="preserve"> 0245611212; 0245611218, </w:t>
          </w:r>
          <w:r w:rsidRPr="006A11F2">
            <w:rPr>
              <w:b/>
              <w:sz w:val="14"/>
              <w:szCs w:val="14"/>
            </w:rPr>
            <w:t>Fax:</w:t>
          </w:r>
          <w:r w:rsidRPr="006A11F2">
            <w:rPr>
              <w:sz w:val="14"/>
              <w:szCs w:val="14"/>
            </w:rPr>
            <w:t xml:space="preserve"> 0245634020</w:t>
          </w:r>
          <w:r>
            <w:rPr>
              <w:sz w:val="14"/>
              <w:szCs w:val="14"/>
            </w:rPr>
            <w:t xml:space="preserve">, </w:t>
          </w:r>
          <w:r w:rsidRPr="006A11F2">
            <w:rPr>
              <w:b/>
              <w:sz w:val="14"/>
              <w:szCs w:val="14"/>
            </w:rPr>
            <w:t>Web:</w:t>
          </w:r>
          <w:r w:rsidRPr="006A11F2">
            <w:rPr>
              <w:sz w:val="14"/>
              <w:szCs w:val="14"/>
            </w:rPr>
            <w:t xml:space="preserve"> </w:t>
          </w:r>
          <w:hyperlink r:id="rId2" w:history="1">
            <w:r w:rsidRPr="006A11F2">
              <w:rPr>
                <w:rStyle w:val="Hyperlink"/>
                <w:sz w:val="14"/>
                <w:szCs w:val="14"/>
              </w:rPr>
              <w:t>www.isudb.ro</w:t>
            </w:r>
          </w:hyperlink>
          <w:r w:rsidRPr="006A11F2">
            <w:rPr>
              <w:sz w:val="14"/>
              <w:szCs w:val="14"/>
            </w:rPr>
            <w:t xml:space="preserve">, </w:t>
          </w:r>
          <w:r w:rsidRPr="006A11F2">
            <w:rPr>
              <w:b/>
              <w:sz w:val="14"/>
              <w:szCs w:val="14"/>
            </w:rPr>
            <w:t>E-mail:</w:t>
          </w:r>
          <w:r w:rsidRPr="006A11F2">
            <w:rPr>
              <w:sz w:val="14"/>
              <w:szCs w:val="14"/>
            </w:rPr>
            <w:t xml:space="preserve"> </w:t>
          </w:r>
          <w:hyperlink r:id="rId3" w:history="1">
            <w:r w:rsidRPr="006A11F2">
              <w:rPr>
                <w:rStyle w:val="Hyperlink"/>
                <w:sz w:val="14"/>
                <w:szCs w:val="14"/>
              </w:rPr>
              <w:t>contact</w:t>
            </w:r>
            <w:r w:rsidRPr="006A11F2">
              <w:rPr>
                <w:rStyle w:val="Hyperlink"/>
                <w:sz w:val="14"/>
                <w:szCs w:val="14"/>
                <w:lang w:val="fr-FR"/>
              </w:rPr>
              <w:t>@isudb.ro</w:t>
            </w:r>
          </w:hyperlink>
        </w:p>
      </w:tc>
    </w:tr>
  </w:tbl>
  <w:p w:rsidR="002A032F" w:rsidRPr="008F0807" w:rsidRDefault="008F0807" w:rsidP="008F0807">
    <w:pPr>
      <w:pStyle w:val="Footer"/>
      <w:tabs>
        <w:tab w:val="clear" w:pos="4680"/>
        <w:tab w:val="clear" w:pos="9360"/>
        <w:tab w:val="left" w:pos="7650"/>
      </w:tabs>
      <w:rPr>
        <w:sz w:val="2"/>
        <w:szCs w:val="2"/>
      </w:rPr>
    </w:pPr>
    <w:r w:rsidRPr="008F0807">
      <w:rPr>
        <w:sz w:val="2"/>
        <w:szCs w:val="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CDA" w:rsidRDefault="009B5CDA" w:rsidP="00912FDC">
      <w:pPr>
        <w:spacing w:after="0" w:line="240" w:lineRule="auto"/>
      </w:pPr>
      <w:r>
        <w:separator/>
      </w:r>
    </w:p>
  </w:footnote>
  <w:footnote w:type="continuationSeparator" w:id="0">
    <w:p w:rsidR="009B5CDA" w:rsidRDefault="009B5CDA" w:rsidP="00912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alias w:val="Nivel/Clasa"/>
      <w:tag w:val="Nivel/Clasa"/>
      <w:id w:val="-841237905"/>
      <w:comboBox>
        <w:listItem w:value="nivel/clasa"/>
        <w:listItem w:displayText="." w:value="."/>
        <w:listItem w:displayText="NESECRET" w:value="NESECRET"/>
        <w:listItem w:displayText="SECRET DE SERVICIU" w:value="SECRET DE SERVICIU"/>
      </w:comboBox>
    </w:sdtPr>
    <w:sdtEndPr/>
    <w:sdtContent>
      <w:p w:rsidR="008E52CD" w:rsidRPr="00CC0859" w:rsidRDefault="008E52CD" w:rsidP="00E228B6">
        <w:pPr>
          <w:spacing w:after="60"/>
          <w:jc w:val="center"/>
          <w:rPr>
            <w:sz w:val="14"/>
            <w:szCs w:val="14"/>
          </w:rPr>
        </w:pPr>
        <w:r w:rsidRPr="00CC0859">
          <w:rPr>
            <w:sz w:val="14"/>
            <w:szCs w:val="14"/>
          </w:rPr>
          <w:t>NESECRET</w:t>
        </w:r>
      </w:p>
    </w:sdtContent>
  </w:sdt>
  <w:p w:rsidR="00E228B6" w:rsidRPr="00CC0859" w:rsidRDefault="00E228B6">
    <w:pPr>
      <w:pStyle w:val="Header"/>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5953"/>
      <w:gridCol w:w="1134"/>
      <w:gridCol w:w="2835"/>
    </w:tblGrid>
    <w:tr w:rsidR="006A11F2" w:rsidTr="007648B1">
      <w:tc>
        <w:tcPr>
          <w:tcW w:w="5953" w:type="dxa"/>
        </w:tcPr>
        <w:p w:rsidR="00040613" w:rsidRDefault="00040613" w:rsidP="00912FDC">
          <w:pPr>
            <w:pStyle w:val="Header"/>
            <w:tabs>
              <w:tab w:val="clear" w:pos="4680"/>
              <w:tab w:val="clear" w:pos="9360"/>
            </w:tabs>
            <w:jc w:val="center"/>
            <w:rPr>
              <w:sz w:val="20"/>
              <w:szCs w:val="20"/>
            </w:rPr>
          </w:pPr>
          <w:r>
            <w:rPr>
              <w:sz w:val="20"/>
              <w:szCs w:val="20"/>
            </w:rPr>
            <w:t>ROMÂNIA</w:t>
          </w:r>
        </w:p>
        <w:p w:rsidR="006A11F2" w:rsidRDefault="006A11F2" w:rsidP="00912FDC">
          <w:pPr>
            <w:pStyle w:val="Header"/>
            <w:tabs>
              <w:tab w:val="clear" w:pos="4680"/>
              <w:tab w:val="clear" w:pos="9360"/>
            </w:tabs>
            <w:jc w:val="center"/>
            <w:rPr>
              <w:sz w:val="20"/>
              <w:szCs w:val="20"/>
            </w:rPr>
          </w:pPr>
          <w:r>
            <w:rPr>
              <w:sz w:val="20"/>
              <w:szCs w:val="20"/>
            </w:rPr>
            <w:t>MINISTERUL AFACERILOR INTERNE</w:t>
          </w:r>
        </w:p>
        <w:p w:rsidR="006A11F2" w:rsidRDefault="006A11F2" w:rsidP="00912FDC">
          <w:pPr>
            <w:pStyle w:val="Header"/>
            <w:tabs>
              <w:tab w:val="clear" w:pos="4680"/>
              <w:tab w:val="clear" w:pos="9360"/>
            </w:tabs>
            <w:jc w:val="center"/>
            <w:rPr>
              <w:sz w:val="20"/>
              <w:szCs w:val="20"/>
            </w:rPr>
          </w:pPr>
          <w:r>
            <w:rPr>
              <w:sz w:val="20"/>
              <w:szCs w:val="20"/>
            </w:rPr>
            <w:t>DEPARTAMENTUL PENTRU SITUAȚII DE URGENȚĂ</w:t>
          </w:r>
        </w:p>
        <w:p w:rsidR="006A11F2" w:rsidRDefault="006A11F2" w:rsidP="00912FDC">
          <w:pPr>
            <w:pStyle w:val="Header"/>
            <w:tabs>
              <w:tab w:val="clear" w:pos="4680"/>
              <w:tab w:val="clear" w:pos="9360"/>
            </w:tabs>
            <w:jc w:val="center"/>
            <w:rPr>
              <w:sz w:val="20"/>
              <w:szCs w:val="20"/>
            </w:rPr>
          </w:pPr>
          <w:r>
            <w:rPr>
              <w:sz w:val="20"/>
              <w:szCs w:val="20"/>
            </w:rPr>
            <w:t>INSPECTORATUL GENERAL PENTRU SITUAȚII DE URGENȚĂ</w:t>
          </w:r>
        </w:p>
        <w:p w:rsidR="006A11F2" w:rsidRDefault="006A11F2" w:rsidP="00912FDC">
          <w:pPr>
            <w:pStyle w:val="Header"/>
            <w:tabs>
              <w:tab w:val="clear" w:pos="4680"/>
              <w:tab w:val="clear" w:pos="9360"/>
            </w:tabs>
            <w:jc w:val="center"/>
            <w:rPr>
              <w:sz w:val="20"/>
              <w:szCs w:val="20"/>
            </w:rPr>
          </w:pPr>
          <w:r w:rsidRPr="00D860F1">
            <w:rPr>
              <w:b/>
              <w:sz w:val="20"/>
              <w:szCs w:val="20"/>
            </w:rPr>
            <w:t>INSPECTORATUL PENTRU SITUAȚII DE URGENȚĂ</w:t>
          </w:r>
        </w:p>
        <w:p w:rsidR="006A11F2" w:rsidRDefault="006A11F2" w:rsidP="00912FDC">
          <w:pPr>
            <w:pStyle w:val="Header"/>
            <w:tabs>
              <w:tab w:val="clear" w:pos="4680"/>
              <w:tab w:val="clear" w:pos="9360"/>
            </w:tabs>
            <w:jc w:val="center"/>
            <w:rPr>
              <w:sz w:val="20"/>
              <w:szCs w:val="20"/>
            </w:rPr>
          </w:pPr>
          <w:r w:rsidRPr="00D860F1">
            <w:rPr>
              <w:b/>
              <w:sz w:val="20"/>
              <w:szCs w:val="20"/>
            </w:rPr>
            <w:t>”BASARAB I” AL JUDEȚULUI  DÂMBOVIȚA</w:t>
          </w:r>
        </w:p>
        <w:p w:rsidR="00AE3D4F" w:rsidRPr="00536F6B" w:rsidRDefault="00536F6B" w:rsidP="00536F6B">
          <w:pPr>
            <w:jc w:val="center"/>
            <w:rPr>
              <w:rFonts w:cs="Times New Roman"/>
            </w:rPr>
          </w:pPr>
          <w:r>
            <w:rPr>
              <w:rFonts w:cs="Times New Roman"/>
              <w:noProof/>
              <w:lang w:val="ro-RO" w:eastAsia="ro-RO"/>
            </w:rPr>
            <w:drawing>
              <wp:inline distT="0" distB="0" distL="0" distR="0" wp14:anchorId="1917DDCE" wp14:editId="43A4F456">
                <wp:extent cx="901529"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ISUDB-oct2018-color.png"/>
                        <pic:cNvPicPr/>
                      </pic:nvPicPr>
                      <pic:blipFill>
                        <a:blip r:embed="rId1">
                          <a:extLst>
                            <a:ext uri="{28A0092B-C50C-407E-A947-70E740481C1C}">
                              <a14:useLocalDpi xmlns:a14="http://schemas.microsoft.com/office/drawing/2010/main" val="0"/>
                            </a:ext>
                          </a:extLst>
                        </a:blip>
                        <a:stretch>
                          <a:fillRect/>
                        </a:stretch>
                      </pic:blipFill>
                      <pic:spPr>
                        <a:xfrm>
                          <a:off x="0" y="0"/>
                          <a:ext cx="901529" cy="900000"/>
                        </a:xfrm>
                        <a:prstGeom prst="rect">
                          <a:avLst/>
                        </a:prstGeom>
                      </pic:spPr>
                    </pic:pic>
                  </a:graphicData>
                </a:graphic>
              </wp:inline>
            </w:drawing>
          </w:r>
        </w:p>
      </w:tc>
      <w:tc>
        <w:tcPr>
          <w:tcW w:w="1134" w:type="dxa"/>
        </w:tcPr>
        <w:p w:rsidR="006A11F2" w:rsidRPr="00040613" w:rsidRDefault="006A11F2" w:rsidP="00912FDC">
          <w:pPr>
            <w:rPr>
              <w:b/>
            </w:rPr>
          </w:pPr>
        </w:p>
      </w:tc>
      <w:tc>
        <w:tcPr>
          <w:tcW w:w="28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835"/>
          </w:tblGrid>
          <w:tr w:rsidR="00AE3D4F" w:rsidTr="00AE3D4F">
            <w:tc>
              <w:tcPr>
                <w:tcW w:w="2835" w:type="dxa"/>
              </w:tcPr>
              <w:p w:rsidR="004F49F2" w:rsidRPr="004F49F2" w:rsidRDefault="00924E2B" w:rsidP="004F49F2">
                <w:pPr>
                  <w:spacing w:after="60"/>
                  <w:rPr>
                    <w:b/>
                    <w:sz w:val="16"/>
                    <w:szCs w:val="16"/>
                  </w:rPr>
                </w:pPr>
                <w:r w:rsidRPr="00262B49">
                  <w:rPr>
                    <w:rFonts w:eastAsia="Calibri" w:cs="Times New Roman"/>
                    <w:b/>
                    <w:noProof/>
                    <w:sz w:val="20"/>
                    <w:szCs w:val="20"/>
                    <w:lang w:val="ro-RO" w:eastAsia="ro-RO"/>
                  </w:rPr>
                  <w:drawing>
                    <wp:inline distT="0" distB="0" distL="0" distR="0" wp14:anchorId="2A3E728B" wp14:editId="38BCF62B">
                      <wp:extent cx="900000" cy="33746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O-FULL-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0000" cy="337460"/>
                              </a:xfrm>
                              <a:prstGeom prst="rect">
                                <a:avLst/>
                              </a:prstGeom>
                            </pic:spPr>
                          </pic:pic>
                        </a:graphicData>
                      </a:graphic>
                    </wp:inline>
                  </w:drawing>
                </w:r>
              </w:p>
              <w:p w:rsidR="004F49F2" w:rsidRPr="004F49F2" w:rsidRDefault="004F49F2" w:rsidP="004F49F2">
                <w:pPr>
                  <w:spacing w:after="60"/>
                  <w:rPr>
                    <w:b/>
                    <w:i/>
                    <w:sz w:val="16"/>
                    <w:szCs w:val="16"/>
                  </w:rPr>
                </w:pPr>
              </w:p>
              <w:p w:rsidR="004F49F2" w:rsidRPr="004F49F2" w:rsidRDefault="00924E2B" w:rsidP="004F49F2">
                <w:pPr>
                  <w:spacing w:after="60"/>
                  <w:rPr>
                    <w:rFonts w:cs="Times New Roman"/>
                    <w:b/>
                    <w:i/>
                    <w:sz w:val="16"/>
                    <w:szCs w:val="16"/>
                  </w:rPr>
                </w:pPr>
                <w:r>
                  <w:rPr>
                    <w:rFonts w:cs="Times New Roman"/>
                    <w:b/>
                    <w:i/>
                    <w:sz w:val="16"/>
                    <w:szCs w:val="16"/>
                  </w:rPr>
                  <w:t>Nr. 2</w:t>
                </w:r>
                <w:r w:rsidR="001A3349">
                  <w:rPr>
                    <w:rFonts w:cs="Times New Roman"/>
                    <w:b/>
                    <w:i/>
                    <w:sz w:val="16"/>
                    <w:szCs w:val="16"/>
                  </w:rPr>
                  <w:t>2</w:t>
                </w:r>
              </w:p>
              <w:sdt>
                <w:sdtPr>
                  <w:rPr>
                    <w:b/>
                    <w:i/>
                    <w:sz w:val="16"/>
                    <w:szCs w:val="16"/>
                  </w:rPr>
                  <w:alias w:val="La nr."/>
                  <w:tag w:val="La nr."/>
                  <w:id w:val="402263621"/>
                  <w:comboBox>
                    <w:listItem w:displayText="." w:value="."/>
                    <w:listItem w:displayText="Târgoviște, _____/_____/2019" w:value="Târgoviște, _____/_____/2019"/>
                  </w:comboBox>
                </w:sdtPr>
                <w:sdtEndPr/>
                <w:sdtContent>
                  <w:p w:rsidR="004F49F2" w:rsidRPr="004F49F2" w:rsidRDefault="004F49F2" w:rsidP="004F49F2">
                    <w:pPr>
                      <w:spacing w:after="120"/>
                      <w:rPr>
                        <w:b/>
                        <w:i/>
                        <w:sz w:val="16"/>
                        <w:szCs w:val="16"/>
                      </w:rPr>
                    </w:pPr>
                    <w:r w:rsidRPr="004F49F2">
                      <w:rPr>
                        <w:b/>
                        <w:i/>
                        <w:sz w:val="16"/>
                        <w:szCs w:val="16"/>
                      </w:rPr>
                      <w:t xml:space="preserve">Târgoviște, </w:t>
                    </w:r>
                    <w:r w:rsidR="004278AA">
                      <w:rPr>
                        <w:b/>
                        <w:i/>
                        <w:sz w:val="16"/>
                        <w:szCs w:val="16"/>
                      </w:rPr>
                      <w:t>2</w:t>
                    </w:r>
                    <w:r w:rsidR="001A3349">
                      <w:rPr>
                        <w:b/>
                        <w:i/>
                        <w:sz w:val="16"/>
                        <w:szCs w:val="16"/>
                      </w:rPr>
                      <w:t>7</w:t>
                    </w:r>
                    <w:r w:rsidRPr="004F49F2">
                      <w:rPr>
                        <w:b/>
                        <w:i/>
                        <w:sz w:val="16"/>
                        <w:szCs w:val="16"/>
                      </w:rPr>
                      <w:t>/0</w:t>
                    </w:r>
                    <w:r w:rsidR="002469ED">
                      <w:rPr>
                        <w:b/>
                        <w:i/>
                        <w:sz w:val="16"/>
                        <w:szCs w:val="16"/>
                      </w:rPr>
                      <w:t>2</w:t>
                    </w:r>
                    <w:r w:rsidRPr="004F49F2">
                      <w:rPr>
                        <w:b/>
                        <w:i/>
                        <w:sz w:val="16"/>
                        <w:szCs w:val="16"/>
                      </w:rPr>
                      <w:t>/2019</w:t>
                    </w:r>
                  </w:p>
                </w:sdtContent>
              </w:sdt>
              <w:sdt>
                <w:sdtPr>
                  <w:rPr>
                    <w:b/>
                    <w:i/>
                    <w:sz w:val="16"/>
                    <w:szCs w:val="20"/>
                  </w:rPr>
                  <w:alias w:val="Purtator de cuvant"/>
                  <w:tag w:val="Purtator de cuvant"/>
                  <w:id w:val="273446155"/>
                  <w:comboBox>
                    <w:listItem w:value="nivel/clasa"/>
                    <w:listItem w:displayText="." w:value="."/>
                    <w:listItem w:displayText="Colonel Eduard ȚELEA" w:value="Colonel Eduard ȚELEA"/>
                    <w:listItem w:displayText="plt.adj.șef Gabriel GĂTEJ" w:value="plt.adj.șef Gabriel GĂTEJ"/>
                  </w:comboBox>
                </w:sdtPr>
                <w:sdtEndPr/>
                <w:sdtContent>
                  <w:p w:rsidR="004F49F2" w:rsidRDefault="004A5E61" w:rsidP="004F49F2">
                    <w:pPr>
                      <w:rPr>
                        <w:b/>
                        <w:i/>
                        <w:sz w:val="20"/>
                        <w:szCs w:val="20"/>
                      </w:rPr>
                    </w:pPr>
                    <w:r>
                      <w:rPr>
                        <w:b/>
                        <w:i/>
                        <w:sz w:val="16"/>
                        <w:szCs w:val="20"/>
                      </w:rPr>
                      <w:t>Colonel Eduard ȚELEA</w:t>
                    </w:r>
                  </w:p>
                </w:sdtContent>
              </w:sdt>
              <w:sdt>
                <w:sdtPr>
                  <w:rPr>
                    <w:i/>
                    <w:sz w:val="16"/>
                    <w:szCs w:val="20"/>
                  </w:rPr>
                  <w:alias w:val="Telefon"/>
                  <w:tag w:val="Telefon"/>
                  <w:id w:val="-1953228715"/>
                  <w:comboBox>
                    <w:listItem w:displayText="." w:value="."/>
                    <w:listItem w:displayText="0722.743.485 / 0722.534.344" w:value="0722.743.485 / 0722.534.344"/>
                    <w:listItem w:displayText="0722.743.485" w:value="0722.743.485"/>
                  </w:comboBox>
                </w:sdtPr>
                <w:sdtEndPr/>
                <w:sdtContent>
                  <w:p w:rsidR="004F49F2" w:rsidRDefault="004F49F2" w:rsidP="004F49F2">
                    <w:pPr>
                      <w:rPr>
                        <w:i/>
                        <w:sz w:val="20"/>
                        <w:szCs w:val="20"/>
                      </w:rPr>
                    </w:pPr>
                    <w:r>
                      <w:rPr>
                        <w:i/>
                        <w:sz w:val="16"/>
                        <w:szCs w:val="20"/>
                      </w:rPr>
                      <w:t>0722.743.485</w:t>
                    </w:r>
                  </w:p>
                </w:sdtContent>
              </w:sdt>
              <w:sdt>
                <w:sdtPr>
                  <w:rPr>
                    <w:sz w:val="16"/>
                    <w:szCs w:val="20"/>
                  </w:rPr>
                  <w:alias w:val="e-mail"/>
                  <w:tag w:val="e-mail"/>
                  <w:id w:val="1687398329"/>
                  <w:comboBox>
                    <w:listItem w:displayText="." w:value="."/>
                    <w:listItem w:displayText="irp@isudb.ro" w:value="irp@isudb.ro"/>
                    <w:listItem w:displayText="pompieriidambovita@yahoo.com" w:value="pompieriidambovita@yahoo.com"/>
                    <w:listItem w:displayText="irpdb@live.com" w:value="irpdb@live.com"/>
                  </w:comboBox>
                </w:sdtPr>
                <w:sdtEndPr/>
                <w:sdtContent>
                  <w:p w:rsidR="004F49F2" w:rsidRDefault="004F49F2" w:rsidP="004F49F2">
                    <w:pPr>
                      <w:rPr>
                        <w:sz w:val="16"/>
                        <w:szCs w:val="20"/>
                      </w:rPr>
                    </w:pPr>
                    <w:r>
                      <w:rPr>
                        <w:sz w:val="16"/>
                        <w:szCs w:val="20"/>
                      </w:rPr>
                      <w:t>irp@isudb.ro</w:t>
                    </w:r>
                  </w:p>
                </w:sdtContent>
              </w:sdt>
              <w:p w:rsidR="00536F6B" w:rsidRDefault="00536F6B">
                <w:pPr>
                  <w:rPr>
                    <w:sz w:val="16"/>
                    <w:szCs w:val="20"/>
                  </w:rPr>
                </w:pPr>
              </w:p>
              <w:sdt>
                <w:sdtPr>
                  <w:rPr>
                    <w:rFonts w:eastAsiaTheme="majorEastAsia" w:cs="Times New Roman"/>
                    <w:b/>
                    <w:iCs/>
                    <w:sz w:val="16"/>
                    <w:szCs w:val="28"/>
                  </w:rPr>
                  <w:alias w:val="Pentru"/>
                  <w:tag w:val="Pentru"/>
                  <w:id w:val="-183745367"/>
                  <w:dropDownList>
                    <w:listItem w:displayText="." w:value="."/>
                    <w:listItem w:displayText="P. INSPECTOR ȘEF" w:value="P. INSPECTOR ȘEF"/>
                  </w:dropDownList>
                </w:sdtPr>
                <w:sdtEndPr/>
                <w:sdtContent>
                  <w:p w:rsidR="00AE3D4F" w:rsidRDefault="00AE3D4F">
                    <w:pPr>
                      <w:jc w:val="center"/>
                      <w:rPr>
                        <w:rFonts w:eastAsiaTheme="majorEastAsia"/>
                        <w:b/>
                        <w:iCs/>
                        <w:sz w:val="16"/>
                        <w:szCs w:val="28"/>
                      </w:rPr>
                    </w:pPr>
                    <w:r>
                      <w:rPr>
                        <w:rFonts w:eastAsiaTheme="majorEastAsia" w:cs="Times New Roman"/>
                        <w:b/>
                        <w:iCs/>
                        <w:sz w:val="16"/>
                        <w:szCs w:val="28"/>
                      </w:rPr>
                      <w:t>.</w:t>
                    </w:r>
                  </w:p>
                </w:sdtContent>
              </w:sdt>
              <w:sdt>
                <w:sdtPr>
                  <w:rPr>
                    <w:rFonts w:eastAsiaTheme="majorEastAsia" w:cs="Times New Roman"/>
                    <w:b/>
                    <w:iCs/>
                    <w:sz w:val="16"/>
                    <w:szCs w:val="28"/>
                  </w:rPr>
                  <w:alias w:val="Funcția"/>
                  <w:tag w:val="Funcția"/>
                  <w:id w:val="-1395113896"/>
                  <w:lock w:val="sdtLocked"/>
                  <w:dropDownList>
                    <w:listItem w:displayText="." w:value="."/>
                    <w:listItem w:displayText="INSPECTOR ȘEF" w:value="INSPECTOR ȘEF"/>
                    <w:listItem w:displayText="PRIM-ADJUNCT INSPECTOR ȘEF" w:value="PRIM-ADJUNCT INSPECTOR ȘEF"/>
                    <w:listItem w:displayText="ADJUNCT INSPECTOR ŞEF" w:value="ADJUNCT INSPECTOR ŞEF"/>
                  </w:dropDownList>
                </w:sdtPr>
                <w:sdtEndPr/>
                <w:sdtContent>
                  <w:p w:rsidR="00AE3D4F" w:rsidRDefault="00924E2B">
                    <w:pPr>
                      <w:jc w:val="center"/>
                      <w:rPr>
                        <w:rFonts w:eastAsiaTheme="majorEastAsia" w:cs="Times New Roman"/>
                        <w:b/>
                        <w:iCs/>
                        <w:sz w:val="20"/>
                        <w:szCs w:val="28"/>
                      </w:rPr>
                    </w:pPr>
                    <w:r>
                      <w:rPr>
                        <w:rFonts w:eastAsiaTheme="majorEastAsia" w:cs="Times New Roman"/>
                        <w:b/>
                        <w:iCs/>
                        <w:sz w:val="16"/>
                        <w:szCs w:val="28"/>
                      </w:rPr>
                      <w:t>.</w:t>
                    </w:r>
                  </w:p>
                </w:sdtContent>
              </w:sdt>
            </w:tc>
          </w:tr>
          <w:tr w:rsidR="00AE3D4F" w:rsidTr="00AE3D4F">
            <w:tc>
              <w:tcPr>
                <w:tcW w:w="2835" w:type="dxa"/>
                <w:hideMark/>
              </w:tcPr>
              <w:p w:rsidR="00AE3D4F" w:rsidRDefault="009B5CDA">
                <w:pPr>
                  <w:jc w:val="center"/>
                  <w:rPr>
                    <w:rFonts w:eastAsiaTheme="majorEastAsia" w:cs="Times New Roman"/>
                    <w:b/>
                    <w:i/>
                    <w:iCs/>
                    <w:sz w:val="16"/>
                    <w:szCs w:val="28"/>
                  </w:rPr>
                </w:pPr>
                <w:sdt>
                  <w:sdtPr>
                    <w:rPr>
                      <w:rFonts w:eastAsiaTheme="majorEastAsia" w:cs="Times New Roman"/>
                      <w:b/>
                      <w:i/>
                      <w:iCs/>
                      <w:sz w:val="16"/>
                      <w:szCs w:val="28"/>
                    </w:rPr>
                    <w:alias w:val="Gradul"/>
                    <w:tag w:val="Gradul"/>
                    <w:id w:val="-1100949771"/>
                    <w:lock w:val="sdtLocked"/>
                    <w:dropDownList>
                      <w:listItem w:displayText="." w:value="."/>
                      <w:listItem w:displayText="Colonel" w:value="Colonel"/>
                      <w:listItem w:displayText="Locotenent colonel" w:value="Locotenent colonel"/>
                    </w:dropDownList>
                  </w:sdtPr>
                  <w:sdtEndPr/>
                  <w:sdtContent>
                    <w:r w:rsidR="00924E2B">
                      <w:rPr>
                        <w:rFonts w:eastAsiaTheme="majorEastAsia" w:cs="Times New Roman"/>
                        <w:b/>
                        <w:i/>
                        <w:iCs/>
                        <w:sz w:val="16"/>
                        <w:szCs w:val="28"/>
                      </w:rPr>
                      <w:t>.</w:t>
                    </w:r>
                  </w:sdtContent>
                </w:sdt>
              </w:p>
              <w:sdt>
                <w:sdtPr>
                  <w:rPr>
                    <w:rFonts w:eastAsiaTheme="majorEastAsia" w:cs="Times New Roman"/>
                    <w:b/>
                    <w:iCs/>
                    <w:sz w:val="16"/>
                    <w:szCs w:val="28"/>
                  </w:rPr>
                  <w:alias w:val="Numele și prenumele"/>
                  <w:tag w:val="Numele și prenumele"/>
                  <w:id w:val="-739408965"/>
                  <w:lock w:val="sdtLocked"/>
                  <w:dropDownList>
                    <w:listItem w:displayText="." w:value="."/>
                    <w:listItem w:displayText="PĂUN Mihăiţă" w:value="PĂUN Mihăiţă"/>
                    <w:listItem w:displayText="HANTĂR Alfred" w:value="HANTĂR Alfred"/>
                    <w:listItem w:displayText="DINCĂ CEZAR" w:value="DINCĂ CEZAR"/>
                  </w:dropDownList>
                </w:sdtPr>
                <w:sdtEndPr/>
                <w:sdtContent>
                  <w:p w:rsidR="00AE3D4F" w:rsidRDefault="00924E2B">
                    <w:pPr>
                      <w:jc w:val="center"/>
                      <w:rPr>
                        <w:rFonts w:eastAsiaTheme="majorEastAsia" w:cs="Times New Roman"/>
                        <w:b/>
                        <w:iCs/>
                        <w:sz w:val="16"/>
                        <w:szCs w:val="28"/>
                      </w:rPr>
                    </w:pPr>
                    <w:r>
                      <w:rPr>
                        <w:rFonts w:eastAsiaTheme="majorEastAsia" w:cs="Times New Roman"/>
                        <w:b/>
                        <w:iCs/>
                        <w:sz w:val="16"/>
                        <w:szCs w:val="28"/>
                      </w:rPr>
                      <w:t>.</w:t>
                    </w:r>
                  </w:p>
                </w:sdtContent>
              </w:sdt>
            </w:tc>
          </w:tr>
        </w:tbl>
        <w:p w:rsidR="006A11F2" w:rsidRPr="00040613" w:rsidRDefault="006A11F2" w:rsidP="007648B1">
          <w:pPr>
            <w:spacing w:after="60"/>
            <w:rPr>
              <w:b/>
              <w:sz w:val="20"/>
              <w:szCs w:val="20"/>
            </w:rPr>
          </w:pPr>
        </w:p>
      </w:tc>
    </w:tr>
  </w:tbl>
  <w:p w:rsidR="00536F6B" w:rsidRPr="00265BA2" w:rsidRDefault="00536F6B">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346C4"/>
    <w:multiLevelType w:val="hybridMultilevel"/>
    <w:tmpl w:val="3FDC4AB0"/>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5EC27BA7"/>
    <w:multiLevelType w:val="hybridMultilevel"/>
    <w:tmpl w:val="F35E174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DA"/>
    <w:rsid w:val="00031CED"/>
    <w:rsid w:val="0003332C"/>
    <w:rsid w:val="00040613"/>
    <w:rsid w:val="00063946"/>
    <w:rsid w:val="00063F4B"/>
    <w:rsid w:val="00070BBF"/>
    <w:rsid w:val="00076978"/>
    <w:rsid w:val="000E7030"/>
    <w:rsid w:val="001669DF"/>
    <w:rsid w:val="00193C5D"/>
    <w:rsid w:val="001977DA"/>
    <w:rsid w:val="001A3349"/>
    <w:rsid w:val="001B1892"/>
    <w:rsid w:val="001C50AA"/>
    <w:rsid w:val="002469ED"/>
    <w:rsid w:val="00257C08"/>
    <w:rsid w:val="0026502C"/>
    <w:rsid w:val="00265BA2"/>
    <w:rsid w:val="002869E0"/>
    <w:rsid w:val="002A032F"/>
    <w:rsid w:val="002C4BEC"/>
    <w:rsid w:val="00355302"/>
    <w:rsid w:val="00392A4F"/>
    <w:rsid w:val="003F524B"/>
    <w:rsid w:val="00415ACA"/>
    <w:rsid w:val="004278AA"/>
    <w:rsid w:val="0047567A"/>
    <w:rsid w:val="00494D92"/>
    <w:rsid w:val="004A5E61"/>
    <w:rsid w:val="004A7CB0"/>
    <w:rsid w:val="004F006E"/>
    <w:rsid w:val="004F2DAC"/>
    <w:rsid w:val="004F49F2"/>
    <w:rsid w:val="00536F6B"/>
    <w:rsid w:val="00546C25"/>
    <w:rsid w:val="005733BB"/>
    <w:rsid w:val="00594382"/>
    <w:rsid w:val="005D7B9E"/>
    <w:rsid w:val="006336B0"/>
    <w:rsid w:val="00646337"/>
    <w:rsid w:val="00662581"/>
    <w:rsid w:val="00673964"/>
    <w:rsid w:val="0069480D"/>
    <w:rsid w:val="006A11F2"/>
    <w:rsid w:val="006D00A8"/>
    <w:rsid w:val="007648B1"/>
    <w:rsid w:val="007B63CE"/>
    <w:rsid w:val="00845004"/>
    <w:rsid w:val="00896C09"/>
    <w:rsid w:val="008E0576"/>
    <w:rsid w:val="008E52CD"/>
    <w:rsid w:val="008F0807"/>
    <w:rsid w:val="00912FDC"/>
    <w:rsid w:val="00924E2B"/>
    <w:rsid w:val="009B5CDA"/>
    <w:rsid w:val="009C6F03"/>
    <w:rsid w:val="009C711D"/>
    <w:rsid w:val="00A36764"/>
    <w:rsid w:val="00AB1B5A"/>
    <w:rsid w:val="00AE30D3"/>
    <w:rsid w:val="00AE3D4F"/>
    <w:rsid w:val="00B070EE"/>
    <w:rsid w:val="00B318A8"/>
    <w:rsid w:val="00B4114B"/>
    <w:rsid w:val="00B435DA"/>
    <w:rsid w:val="00B45B60"/>
    <w:rsid w:val="00B816E1"/>
    <w:rsid w:val="00B8361A"/>
    <w:rsid w:val="00B945AB"/>
    <w:rsid w:val="00BE374A"/>
    <w:rsid w:val="00C0685A"/>
    <w:rsid w:val="00C5291B"/>
    <w:rsid w:val="00C76DE1"/>
    <w:rsid w:val="00CC0859"/>
    <w:rsid w:val="00CD1108"/>
    <w:rsid w:val="00CD1743"/>
    <w:rsid w:val="00CD5EA0"/>
    <w:rsid w:val="00D1023C"/>
    <w:rsid w:val="00D2159E"/>
    <w:rsid w:val="00D370AA"/>
    <w:rsid w:val="00D52100"/>
    <w:rsid w:val="00DA3E6B"/>
    <w:rsid w:val="00DB7CFF"/>
    <w:rsid w:val="00DC7C26"/>
    <w:rsid w:val="00DD7AEC"/>
    <w:rsid w:val="00E228B6"/>
    <w:rsid w:val="00E54D63"/>
    <w:rsid w:val="00E60667"/>
    <w:rsid w:val="00EB2A32"/>
    <w:rsid w:val="00F76FC8"/>
    <w:rsid w:val="00FE58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CD1108"/>
    <w:rPr>
      <w:rFonts w:ascii="Times New Roman" w:hAnsi="Times New Roman"/>
      <w:sz w:val="28"/>
    </w:rPr>
  </w:style>
  <w:style w:type="paragraph" w:styleId="Heading1">
    <w:name w:val="heading 1"/>
    <w:basedOn w:val="Normal"/>
    <w:next w:val="Normal"/>
    <w:link w:val="Heading1Char"/>
    <w:uiPriority w:val="9"/>
    <w:qFormat/>
    <w:rsid w:val="00536F6B"/>
    <w:pPr>
      <w:keepNext/>
      <w:keepLines/>
      <w:spacing w:before="240" w:after="0" w:line="276" w:lineRule="auto"/>
      <w:outlineLvl w:val="0"/>
    </w:pPr>
    <w:rPr>
      <w:rFonts w:ascii="Calibri Light" w:eastAsia="Times New Roman" w:hAnsi="Calibri Light" w:cs="Times New Roman"/>
      <w:color w:val="2E74B5"/>
      <w:sz w:val="32"/>
      <w:szCs w:val="32"/>
      <w:lang w:val="ro-RO"/>
    </w:rPr>
  </w:style>
  <w:style w:type="paragraph" w:styleId="Heading2">
    <w:name w:val="heading 2"/>
    <w:basedOn w:val="Normal"/>
    <w:next w:val="Normal"/>
    <w:link w:val="Heading2Char"/>
    <w:uiPriority w:val="9"/>
    <w:semiHidden/>
    <w:unhideWhenUsed/>
    <w:qFormat/>
    <w:rsid w:val="00536F6B"/>
    <w:pPr>
      <w:keepNext/>
      <w:keepLines/>
      <w:spacing w:before="40" w:after="0" w:line="276" w:lineRule="auto"/>
      <w:outlineLvl w:val="1"/>
    </w:pPr>
    <w:rPr>
      <w:rFonts w:ascii="Calibri Light" w:eastAsia="Times New Roman" w:hAnsi="Calibri Light" w:cs="Times New Roman"/>
      <w:color w:val="2E74B5"/>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FDC"/>
    <w:rPr>
      <w:rFonts w:ascii="Times New Roman" w:hAnsi="Times New Roman"/>
      <w:sz w:val="28"/>
    </w:rPr>
  </w:style>
  <w:style w:type="table" w:styleId="TableGrid">
    <w:name w:val="Table Grid"/>
    <w:basedOn w:val="TableNormal"/>
    <w:uiPriority w:val="39"/>
    <w:rsid w:val="0091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3F5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24B"/>
    <w:rPr>
      <w:rFonts w:ascii="Tahoma" w:hAnsi="Tahoma" w:cs="Tahoma"/>
      <w:sz w:val="16"/>
      <w:szCs w:val="16"/>
    </w:rPr>
  </w:style>
  <w:style w:type="character" w:customStyle="1" w:styleId="Heading1Char">
    <w:name w:val="Heading 1 Char"/>
    <w:basedOn w:val="DefaultParagraphFont"/>
    <w:link w:val="Heading1"/>
    <w:uiPriority w:val="9"/>
    <w:rsid w:val="00536F6B"/>
    <w:rPr>
      <w:rFonts w:ascii="Calibri Light" w:eastAsia="Times New Roman" w:hAnsi="Calibri Light" w:cs="Times New Roman"/>
      <w:color w:val="2E74B5"/>
      <w:sz w:val="32"/>
      <w:szCs w:val="32"/>
      <w:lang w:val="ro-RO"/>
    </w:rPr>
  </w:style>
  <w:style w:type="character" w:customStyle="1" w:styleId="Heading2Char">
    <w:name w:val="Heading 2 Char"/>
    <w:basedOn w:val="DefaultParagraphFont"/>
    <w:link w:val="Heading2"/>
    <w:uiPriority w:val="9"/>
    <w:semiHidden/>
    <w:rsid w:val="00536F6B"/>
    <w:rPr>
      <w:rFonts w:ascii="Calibri Light" w:eastAsia="Times New Roman" w:hAnsi="Calibri Light" w:cs="Times New Roman"/>
      <w:color w:val="2E74B5"/>
      <w:sz w:val="26"/>
      <w:szCs w:val="26"/>
      <w:lang w:val="ro-RO"/>
    </w:rPr>
  </w:style>
  <w:style w:type="paragraph" w:customStyle="1" w:styleId="100ISUDB">
    <w:name w:val="100ISUDB"/>
    <w:basedOn w:val="Normal"/>
    <w:autoRedefine/>
    <w:qFormat/>
    <w:rsid w:val="00536F6B"/>
    <w:pPr>
      <w:spacing w:line="256" w:lineRule="auto"/>
      <w:jc w:val="both"/>
    </w:pPr>
    <w:rPr>
      <w:rFonts w:eastAsia="Calibri" w:cs="Times New Roman"/>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CD1108"/>
    <w:rPr>
      <w:rFonts w:ascii="Times New Roman" w:hAnsi="Times New Roman"/>
      <w:sz w:val="28"/>
    </w:rPr>
  </w:style>
  <w:style w:type="paragraph" w:styleId="Heading1">
    <w:name w:val="heading 1"/>
    <w:basedOn w:val="Normal"/>
    <w:next w:val="Normal"/>
    <w:link w:val="Heading1Char"/>
    <w:uiPriority w:val="9"/>
    <w:qFormat/>
    <w:rsid w:val="00536F6B"/>
    <w:pPr>
      <w:keepNext/>
      <w:keepLines/>
      <w:spacing w:before="240" w:after="0" w:line="276" w:lineRule="auto"/>
      <w:outlineLvl w:val="0"/>
    </w:pPr>
    <w:rPr>
      <w:rFonts w:ascii="Calibri Light" w:eastAsia="Times New Roman" w:hAnsi="Calibri Light" w:cs="Times New Roman"/>
      <w:color w:val="2E74B5"/>
      <w:sz w:val="32"/>
      <w:szCs w:val="32"/>
      <w:lang w:val="ro-RO"/>
    </w:rPr>
  </w:style>
  <w:style w:type="paragraph" w:styleId="Heading2">
    <w:name w:val="heading 2"/>
    <w:basedOn w:val="Normal"/>
    <w:next w:val="Normal"/>
    <w:link w:val="Heading2Char"/>
    <w:uiPriority w:val="9"/>
    <w:semiHidden/>
    <w:unhideWhenUsed/>
    <w:qFormat/>
    <w:rsid w:val="00536F6B"/>
    <w:pPr>
      <w:keepNext/>
      <w:keepLines/>
      <w:spacing w:before="40" w:after="0" w:line="276" w:lineRule="auto"/>
      <w:outlineLvl w:val="1"/>
    </w:pPr>
    <w:rPr>
      <w:rFonts w:ascii="Calibri Light" w:eastAsia="Times New Roman" w:hAnsi="Calibri Light" w:cs="Times New Roman"/>
      <w:color w:val="2E74B5"/>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FDC"/>
    <w:rPr>
      <w:rFonts w:ascii="Times New Roman" w:hAnsi="Times New Roman"/>
      <w:sz w:val="28"/>
    </w:rPr>
  </w:style>
  <w:style w:type="table" w:styleId="TableGrid">
    <w:name w:val="Table Grid"/>
    <w:basedOn w:val="TableNormal"/>
    <w:uiPriority w:val="39"/>
    <w:rsid w:val="0091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3F5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24B"/>
    <w:rPr>
      <w:rFonts w:ascii="Tahoma" w:hAnsi="Tahoma" w:cs="Tahoma"/>
      <w:sz w:val="16"/>
      <w:szCs w:val="16"/>
    </w:rPr>
  </w:style>
  <w:style w:type="character" w:customStyle="1" w:styleId="Heading1Char">
    <w:name w:val="Heading 1 Char"/>
    <w:basedOn w:val="DefaultParagraphFont"/>
    <w:link w:val="Heading1"/>
    <w:uiPriority w:val="9"/>
    <w:rsid w:val="00536F6B"/>
    <w:rPr>
      <w:rFonts w:ascii="Calibri Light" w:eastAsia="Times New Roman" w:hAnsi="Calibri Light" w:cs="Times New Roman"/>
      <w:color w:val="2E74B5"/>
      <w:sz w:val="32"/>
      <w:szCs w:val="32"/>
      <w:lang w:val="ro-RO"/>
    </w:rPr>
  </w:style>
  <w:style w:type="character" w:customStyle="1" w:styleId="Heading2Char">
    <w:name w:val="Heading 2 Char"/>
    <w:basedOn w:val="DefaultParagraphFont"/>
    <w:link w:val="Heading2"/>
    <w:uiPriority w:val="9"/>
    <w:semiHidden/>
    <w:rsid w:val="00536F6B"/>
    <w:rPr>
      <w:rFonts w:ascii="Calibri Light" w:eastAsia="Times New Roman" w:hAnsi="Calibri Light" w:cs="Times New Roman"/>
      <w:color w:val="2E74B5"/>
      <w:sz w:val="26"/>
      <w:szCs w:val="26"/>
      <w:lang w:val="ro-RO"/>
    </w:rPr>
  </w:style>
  <w:style w:type="paragraph" w:customStyle="1" w:styleId="100ISUDB">
    <w:name w:val="100ISUDB"/>
    <w:basedOn w:val="Normal"/>
    <w:autoRedefine/>
    <w:qFormat/>
    <w:rsid w:val="00536F6B"/>
    <w:pPr>
      <w:spacing w:line="256" w:lineRule="auto"/>
      <w:jc w:val="both"/>
    </w:pPr>
    <w:rPr>
      <w:rFonts w:eastAsia="Calibri"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26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contact@isudb.ro" TargetMode="External"/><Relationship Id="rId2" Type="http://schemas.openxmlformats.org/officeDocument/2006/relationships/hyperlink" Target="http://www.isudb.ro"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CIRP_2019\DocNouInsemn01012019\BI-CI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BI-CI_COLOR</Template>
  <TotalTime>4</TotalTime>
  <Pages>1</Pages>
  <Words>660</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telea.eduard</dc:creator>
  <cp:lastModifiedBy>telea.eduard</cp:lastModifiedBy>
  <cp:revision>9</cp:revision>
  <cp:lastPrinted>2019-02-18T08:36:00Z</cp:lastPrinted>
  <dcterms:created xsi:type="dcterms:W3CDTF">2019-02-20T12:44:00Z</dcterms:created>
  <dcterms:modified xsi:type="dcterms:W3CDTF">2019-02-27T06:31:00Z</dcterms:modified>
</cp:coreProperties>
</file>